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A2" w:rsidRDefault="002C5756" w:rsidP="00BB4E11">
      <w:pPr>
        <w:jc w:val="both"/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 wp14:anchorId="358CCE3B" wp14:editId="75D07C7B">
            <wp:extent cx="5760720" cy="1165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F60" w:rsidRDefault="00EE1F60" w:rsidP="00BB4E11">
      <w:pPr>
        <w:jc w:val="both"/>
        <w:rPr>
          <w:rStyle w:val="tlid-translation"/>
          <w:lang w:val="cs-CZ"/>
        </w:rPr>
      </w:pPr>
      <w:r>
        <w:rPr>
          <w:rStyle w:val="tlid-translation"/>
          <w:lang w:val="cs-CZ"/>
        </w:rPr>
        <w:t xml:space="preserve">Město Krásno nad Kysucou (SR) a Obec Metylovice (ČR) realizují projekt s názvem: Přibližme se ke společnému přírodnímu a kulturnímu dědictví </w:t>
      </w:r>
    </w:p>
    <w:p w:rsidR="00EE1F60" w:rsidRDefault="00EE1F60" w:rsidP="00BB4E11">
      <w:pPr>
        <w:jc w:val="both"/>
        <w:rPr>
          <w:rStyle w:val="tlid-translation"/>
          <w:lang w:val="cs-CZ"/>
        </w:rPr>
      </w:pPr>
      <w:r>
        <w:rPr>
          <w:rStyle w:val="tlid-translation"/>
          <w:lang w:val="cs-CZ"/>
        </w:rPr>
        <w:t>Kód projektu: NFP304020P668,</w:t>
      </w:r>
    </w:p>
    <w:p w:rsidR="00F33660" w:rsidRDefault="00EE1F60" w:rsidP="00BB4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lang w:val="cs-CZ"/>
        </w:rPr>
        <w:t xml:space="preserve">v rámci Programu </w:t>
      </w:r>
      <w:proofErr w:type="spellStart"/>
      <w:r>
        <w:rPr>
          <w:rStyle w:val="tlid-translation"/>
          <w:lang w:val="cs-CZ"/>
        </w:rPr>
        <w:t>cezhraničnej</w:t>
      </w:r>
      <w:proofErr w:type="spellEnd"/>
      <w:r>
        <w:rPr>
          <w:rStyle w:val="tlid-translation"/>
          <w:lang w:val="cs-CZ"/>
        </w:rPr>
        <w:t xml:space="preserve"> spolupráce INTERREG </w:t>
      </w:r>
      <w:proofErr w:type="gramStart"/>
      <w:r>
        <w:rPr>
          <w:rStyle w:val="tlid-translation"/>
          <w:lang w:val="cs-CZ"/>
        </w:rPr>
        <w:t>V-A</w:t>
      </w:r>
      <w:proofErr w:type="gramEnd"/>
      <w:r>
        <w:rPr>
          <w:rStyle w:val="tlid-translation"/>
          <w:lang w:val="cs-CZ"/>
        </w:rPr>
        <w:t xml:space="preserve"> –</w:t>
      </w:r>
      <w:proofErr w:type="gramStart"/>
      <w:r>
        <w:rPr>
          <w:rStyle w:val="tlid-translation"/>
          <w:lang w:val="cs-CZ"/>
        </w:rPr>
        <w:t>Slovenská</w:t>
      </w:r>
      <w:proofErr w:type="gramEnd"/>
      <w:r>
        <w:rPr>
          <w:rStyle w:val="tlid-translation"/>
          <w:lang w:val="cs-CZ"/>
        </w:rPr>
        <w:t xml:space="preserve">  republika - Česká republika</w:t>
      </w:r>
    </w:p>
    <w:p w:rsidR="00607D5A" w:rsidRDefault="00607D5A" w:rsidP="00BB4E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6"/>
        <w:gridCol w:w="2876"/>
      </w:tblGrid>
      <w:tr w:rsidR="00607D5A" w:rsidRPr="00607D5A" w:rsidTr="00607D5A">
        <w:trPr>
          <w:trHeight w:val="450"/>
        </w:trPr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Celková výška oprávnených výdavkov: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243 945,40 €</w:t>
            </w:r>
          </w:p>
        </w:tc>
      </w:tr>
      <w:tr w:rsidR="00607D5A" w:rsidRPr="00607D5A" w:rsidTr="00607D5A">
        <w:trPr>
          <w:trHeight w:val="450"/>
        </w:trPr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Maximálna výška nenávratného finančného príspevku zo zdroja EÚ: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207 353,59 €</w:t>
            </w:r>
          </w:p>
        </w:tc>
      </w:tr>
      <w:tr w:rsidR="00607D5A" w:rsidRPr="00607D5A" w:rsidTr="00607D5A">
        <w:trPr>
          <w:trHeight w:val="450"/>
        </w:trPr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Maximálna výška nenávratného finančného príspevku zo zdroja ŠR SR: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9 588,04 €</w:t>
            </w:r>
          </w:p>
        </w:tc>
      </w:tr>
      <w:tr w:rsidR="00607D5A" w:rsidRPr="00607D5A" w:rsidTr="00607D5A">
        <w:trPr>
          <w:trHeight w:val="450"/>
        </w:trPr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Maximálna výška nenávratného finančného príspevku zo zdroja ŠR ČR: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7 403,25 €</w:t>
            </w:r>
          </w:p>
        </w:tc>
      </w:tr>
      <w:tr w:rsidR="00607D5A" w:rsidRPr="00607D5A" w:rsidTr="00607D5A">
        <w:trPr>
          <w:trHeight w:val="450"/>
        </w:trPr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Výška spolufinancovania z vlastných zdrojov prijímateľa: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19 600,52 €</w:t>
            </w:r>
          </w:p>
        </w:tc>
      </w:tr>
    </w:tbl>
    <w:p w:rsidR="00607D5A" w:rsidRDefault="00607D5A" w:rsidP="00B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D5A" w:rsidRPr="00F33660" w:rsidRDefault="00607D5A" w:rsidP="00B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660" w:rsidRDefault="00CF28AD" w:rsidP="00BB4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AD">
        <w:rPr>
          <w:rFonts w:ascii="Times New Roman" w:hAnsi="Times New Roman" w:cs="Times New Roman"/>
          <w:b/>
          <w:sz w:val="24"/>
          <w:szCs w:val="24"/>
        </w:rPr>
        <w:t>Popis projektu:</w:t>
      </w:r>
    </w:p>
    <w:p w:rsidR="00EE1F60" w:rsidRDefault="00EE1F60" w:rsidP="00607D5A">
      <w:pPr>
        <w:jc w:val="both"/>
        <w:rPr>
          <w:rStyle w:val="tlid-translation"/>
          <w:lang w:val="cs-CZ"/>
        </w:rPr>
      </w:pPr>
      <w:r>
        <w:rPr>
          <w:rStyle w:val="tlid-translation"/>
          <w:lang w:val="cs-CZ"/>
        </w:rPr>
        <w:t>Město Krásno nad Kysucou (SK) a Obec Metylovice (CZ) se nacházejí v Slovensko-českém pohraničí, jsou vzdáleny 60 km od sebe, patří do společného regionu.</w:t>
      </w:r>
    </w:p>
    <w:p w:rsidR="00EE1F60" w:rsidRDefault="00EE1F60" w:rsidP="00607D5A">
      <w:pPr>
        <w:jc w:val="both"/>
        <w:rPr>
          <w:rStyle w:val="tlid-translation"/>
          <w:lang w:val="cs-CZ"/>
        </w:rPr>
      </w:pPr>
      <w:r>
        <w:rPr>
          <w:rStyle w:val="tlid-translation"/>
          <w:lang w:val="cs-CZ"/>
        </w:rPr>
        <w:t>Partneři si vypracovali analýzu výchozí situace obsahující silné a slabé stránky jako i příležitosti. Ze silných stránek vyplývá bohatý potenciál přírodního a kulturního dědictví, hmotný i nehmotný, ze slabých stránek to, že je málo využíván, propagovaný.</w:t>
      </w:r>
    </w:p>
    <w:p w:rsidR="00EE1F60" w:rsidRDefault="00EE1F60" w:rsidP="00607D5A">
      <w:pPr>
        <w:jc w:val="both"/>
        <w:rPr>
          <w:rStyle w:val="tlid-translation"/>
          <w:lang w:val="cs-CZ"/>
        </w:rPr>
      </w:pPr>
      <w:r>
        <w:rPr>
          <w:rStyle w:val="tlid-translation"/>
          <w:lang w:val="cs-CZ"/>
        </w:rPr>
        <w:t xml:space="preserve">Oba partneři mají svůj potenciál kulturního ale zejména přírodního bohatství (CHKO Kysuce, CHKO Moravskoslezské Beskydy), který je však nedostatečně využíván, není zde dostatečně dobře vytvořené investiční zázemí pro jeho prezentaci a využívání. Partneři chtějí budovat region atraktivní pro turisty a následně i investorů. Se současnou infrastrukturou cest. </w:t>
      </w:r>
      <w:proofErr w:type="gramStart"/>
      <w:r>
        <w:rPr>
          <w:rStyle w:val="tlid-translation"/>
          <w:lang w:val="cs-CZ"/>
        </w:rPr>
        <w:t>ruchu</w:t>
      </w:r>
      <w:proofErr w:type="gramEnd"/>
      <w:r>
        <w:rPr>
          <w:rStyle w:val="tlid-translation"/>
          <w:lang w:val="cs-CZ"/>
        </w:rPr>
        <w:t xml:space="preserve"> to však není možné. Vzhledem na krátkou vzdálenost se mezi partnery se dá projet i na kolech, oba jsou aktivní i z pohledu budování cyklostezek a turistických stezek. Pro zvýšení intenzity cestovního ruchu je předurčuje i pohraniční poloha, kde je možné oslovit nejen domácích ale i zahraničních turistů.</w:t>
      </w:r>
    </w:p>
    <w:p w:rsidR="00EE1F60" w:rsidRDefault="00EE1F60" w:rsidP="00607D5A">
      <w:pPr>
        <w:jc w:val="both"/>
        <w:rPr>
          <w:rStyle w:val="tlid-translation"/>
          <w:lang w:val="cs-CZ"/>
        </w:rPr>
      </w:pPr>
      <w:r>
        <w:rPr>
          <w:rStyle w:val="tlid-translation"/>
          <w:lang w:val="cs-CZ"/>
        </w:rPr>
        <w:t xml:space="preserve">Aby partneři situaci vyřešili, </w:t>
      </w:r>
      <w:proofErr w:type="spellStart"/>
      <w:r>
        <w:rPr>
          <w:rStyle w:val="tlid-translation"/>
          <w:lang w:val="cs-CZ"/>
        </w:rPr>
        <w:t>tj</w:t>
      </w:r>
      <w:proofErr w:type="spellEnd"/>
      <w:r>
        <w:rPr>
          <w:rStyle w:val="tlid-translation"/>
          <w:lang w:val="cs-CZ"/>
        </w:rPr>
        <w:t xml:space="preserve"> zlepšily vybavení území potřebnou infrastrukturou a aktivitami pro jeho zatraktivnění, je pro ně nutná realizace tohoto projektu, kde by prodloužily stávající cyklotrasu, dobudovali prvky turistické infrastruktury (vyhlídková věž, místa zastávek), zvýraznily atraktivity (obnovení okolí bunkru z II. světové války) a realizovali společné akce.</w:t>
      </w:r>
    </w:p>
    <w:p w:rsidR="00EE1F60" w:rsidRDefault="00EE1F60" w:rsidP="00607D5A">
      <w:pPr>
        <w:jc w:val="both"/>
        <w:rPr>
          <w:rStyle w:val="tlid-translation"/>
          <w:lang w:val="cs-CZ"/>
        </w:rPr>
      </w:pPr>
      <w:r>
        <w:rPr>
          <w:rStyle w:val="tlid-translation"/>
          <w:lang w:val="cs-CZ"/>
        </w:rPr>
        <w:lastRenderedPageBreak/>
        <w:t>Projekt je nutný pro realizaci protože je odpovědí na řešení problémů bohatého potenciálu přírodního dědictví, ale malého stupně jeho využití, ochrany, propagace a rozvoje. Uvedené vyřešíme systémem materiálních i nemateriálních opatření - vybudováním potřebného zázemí pro realizaci společných aktivit jako i realizací akcí, které přitáhnou dalších turistů.</w:t>
      </w:r>
    </w:p>
    <w:p w:rsidR="00EE1F60" w:rsidRDefault="00EE1F60" w:rsidP="00607D5A">
      <w:pPr>
        <w:jc w:val="both"/>
        <w:rPr>
          <w:rStyle w:val="tlid-translation"/>
          <w:lang w:val="cs-CZ"/>
        </w:rPr>
      </w:pPr>
      <w:r>
        <w:rPr>
          <w:lang w:val="cs-CZ"/>
        </w:rPr>
        <w:br/>
      </w:r>
      <w:r>
        <w:rPr>
          <w:rStyle w:val="tlid-translation"/>
          <w:lang w:val="cs-CZ"/>
        </w:rPr>
        <w:t>Našim cílem je zachování, rozvoj, prezentace, zvýšení využití přírodního dědictví, to chceme dosáhnout realizací aktivit tohoto projektu.</w:t>
      </w:r>
    </w:p>
    <w:p w:rsidR="00EE1F60" w:rsidRDefault="00EE1F60" w:rsidP="00607D5A">
      <w:pPr>
        <w:jc w:val="both"/>
        <w:rPr>
          <w:rStyle w:val="tlid-translation"/>
          <w:lang w:val="cs-CZ"/>
        </w:rPr>
      </w:pPr>
      <w:r>
        <w:rPr>
          <w:lang w:val="cs-CZ"/>
        </w:rPr>
        <w:br/>
      </w:r>
      <w:r>
        <w:rPr>
          <w:rStyle w:val="tlid-translation"/>
          <w:lang w:val="cs-CZ"/>
        </w:rPr>
        <w:t xml:space="preserve">VP vybuduje v rámci projektu vyhlídkovou věž, jak prvek velmi </w:t>
      </w:r>
      <w:proofErr w:type="spellStart"/>
      <w:r>
        <w:rPr>
          <w:rStyle w:val="tlid-translation"/>
          <w:lang w:val="cs-CZ"/>
        </w:rPr>
        <w:t>atrakívny</w:t>
      </w:r>
      <w:proofErr w:type="spellEnd"/>
      <w:r>
        <w:rPr>
          <w:rStyle w:val="tlid-translation"/>
          <w:lang w:val="cs-CZ"/>
        </w:rPr>
        <w:t xml:space="preserve"> pro turisty. Z období 2. světové války se při turistické trase nachází také bunkr - jeho okolí a přístup k němu chceme upravit a vytvořit z něj velmi zajímavou atraktivitu. Region přeshraničních partnerů tvořil obranné pásmo ve směru na Ostravu, tento společný přeshraniční prvek bychom chtěli při realizaci projektu využít a zdůraznit, že náš region je společný - přeshraniční. Vedle turistických trasách vytvoříme také místa zastávek. Jak významně atraktivní aktivitu v rámci projektu zorganizujeme akci ukázky bojů z 2. světové války.</w:t>
      </w:r>
    </w:p>
    <w:p w:rsidR="00EE1F60" w:rsidRDefault="00EE1F60" w:rsidP="00607D5A">
      <w:pPr>
        <w:jc w:val="both"/>
        <w:rPr>
          <w:rStyle w:val="tlid-translation"/>
          <w:lang w:val="cs-CZ"/>
        </w:rPr>
      </w:pPr>
      <w:r>
        <w:rPr>
          <w:lang w:val="cs-CZ"/>
        </w:rPr>
        <w:br/>
      </w:r>
      <w:r>
        <w:rPr>
          <w:rStyle w:val="tlid-translation"/>
          <w:lang w:val="cs-CZ"/>
        </w:rPr>
        <w:t xml:space="preserve">HCP prodlouží stávající přeshraniční cyklotrasu zhruba o 1 km, která spojuje a vede k přírodnímu dědictví a uspořádá společné akci </w:t>
      </w:r>
      <w:proofErr w:type="spellStart"/>
      <w:r>
        <w:rPr>
          <w:rStyle w:val="tlid-translation"/>
          <w:lang w:val="cs-CZ"/>
        </w:rPr>
        <w:t>cyklodeň</w:t>
      </w:r>
      <w:proofErr w:type="spellEnd"/>
      <w:r>
        <w:rPr>
          <w:rStyle w:val="tlid-translation"/>
          <w:lang w:val="cs-CZ"/>
        </w:rPr>
        <w:t>. Akce bude mít i doprovodný program se zaměřením na zachování kulturního dědictví (vystoupení skupin z ČR i ČR).</w:t>
      </w:r>
    </w:p>
    <w:p w:rsidR="00607D5A" w:rsidRDefault="00EE1F60" w:rsidP="00607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val="cs-CZ"/>
        </w:rPr>
        <w:br/>
      </w:r>
      <w:r>
        <w:rPr>
          <w:rStyle w:val="tlid-translation"/>
          <w:lang w:val="cs-CZ"/>
        </w:rPr>
        <w:t xml:space="preserve">Výsledky z těchto aktivit budou znamenat zatraktivnění regionu pro turisty, možnost trávení volného času. Příchodem turistů se následně zvyšuje nabídka služeb cestovního ruchu, </w:t>
      </w:r>
      <w:proofErr w:type="spellStart"/>
      <w:r>
        <w:rPr>
          <w:rStyle w:val="tlid-translation"/>
          <w:lang w:val="cs-CZ"/>
        </w:rPr>
        <w:t>tj</w:t>
      </w:r>
      <w:proofErr w:type="spellEnd"/>
      <w:r>
        <w:rPr>
          <w:rStyle w:val="tlid-translation"/>
          <w:lang w:val="cs-CZ"/>
        </w:rPr>
        <w:t xml:space="preserve"> zvýšená činnost podnikatelských subjektů, vyšší zaměstnanost, lepší životní úroveň místního obyvatelstva.</w:t>
      </w:r>
    </w:p>
    <w:p w:rsidR="007F097B" w:rsidRDefault="007F097B" w:rsidP="00607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7B" w:rsidRDefault="007F097B" w:rsidP="00607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7B" w:rsidRPr="00607D5A" w:rsidRDefault="007F097B" w:rsidP="00607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8AD" w:rsidRPr="007F097B" w:rsidRDefault="00CF28AD" w:rsidP="00BB4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7B">
        <w:rPr>
          <w:rFonts w:ascii="Times New Roman" w:hAnsi="Times New Roman" w:cs="Times New Roman"/>
          <w:b/>
          <w:sz w:val="24"/>
          <w:szCs w:val="24"/>
        </w:rPr>
        <w:t xml:space="preserve">Popis jednotlivých </w:t>
      </w:r>
      <w:r w:rsidR="00607D5A" w:rsidRPr="007F097B">
        <w:rPr>
          <w:rFonts w:ascii="Times New Roman" w:hAnsi="Times New Roman" w:cs="Times New Roman"/>
          <w:b/>
          <w:sz w:val="24"/>
          <w:szCs w:val="24"/>
        </w:rPr>
        <w:t>aktivít projektu</w:t>
      </w:r>
      <w:r w:rsidRPr="007F097B">
        <w:rPr>
          <w:rFonts w:ascii="Times New Roman" w:hAnsi="Times New Roman" w:cs="Times New Roman"/>
          <w:b/>
          <w:sz w:val="24"/>
          <w:szCs w:val="24"/>
        </w:rPr>
        <w:t>:</w:t>
      </w:r>
    </w:p>
    <w:p w:rsidR="00607D5A" w:rsidRDefault="00607D5A" w:rsidP="00BB4E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947"/>
        <w:gridCol w:w="3600"/>
        <w:gridCol w:w="1570"/>
        <w:gridCol w:w="1570"/>
      </w:tblGrid>
      <w:tr w:rsidR="00607D5A" w:rsidRPr="00607D5A" w:rsidTr="00607D5A">
        <w:trPr>
          <w:trHeight w:val="450"/>
        </w:trPr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Hlavný prijímateľ: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Mesto Krásno nad Kysucou </w:t>
            </w:r>
          </w:p>
        </w:tc>
      </w:tr>
      <w:tr w:rsidR="00607D5A" w:rsidRPr="00607D5A" w:rsidTr="00607D5A">
        <w:trPr>
          <w:trHeight w:val="919"/>
        </w:trPr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A) Investičné aktivity na zlepšenie technického stavu prírodných a kultúrnych pamiatok cezhraničného významu s cieľom ďalšieho využitia prírodného a kultúrneho dedičstva. </w:t>
            </w:r>
          </w:p>
        </w:tc>
      </w:tr>
      <w:tr w:rsidR="00607D5A" w:rsidRPr="00607D5A" w:rsidTr="00607D5A">
        <w:trPr>
          <w:trHeight w:val="45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Názov aktivity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Realizácia aktivity od: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Realizácia aktivity do:</w:t>
            </w:r>
          </w:p>
        </w:tc>
      </w:tr>
      <w:tr w:rsidR="00607D5A" w:rsidRPr="00607D5A" w:rsidTr="00607D5A">
        <w:trPr>
          <w:trHeight w:val="6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Riadenie projektu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600"/>
        </w:trPr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Zabezpečenie povinnej publicity projektu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96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A05 - Realizácia vyhliadkových miest a infraštruktúry (rozhľadne, vyhliadkové mosty, atď.) podporujúce ďalšie využitie prírodného a kultúrneho dedičstva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54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A11 - Prezentačné a propagačné aktivity vo vzťahu k realizovanému objektu (iba doplnkovo)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1002"/>
        </w:trPr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B) Investičné a neinvestičné aktivity na zlepšenie prístupu k prírodným a kultúrnym pamiatkam (napr. značenie, oddychové zóny) realizované vo forme doplnkových aktivít. V rámci fondu malých projektov môžu byť implementované ako plnohodnotné aktivity.</w:t>
            </w:r>
          </w:p>
        </w:tc>
      </w:tr>
      <w:tr w:rsidR="00607D5A" w:rsidRPr="00607D5A" w:rsidTr="00607D5A">
        <w:trPr>
          <w:trHeight w:val="45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Názov aktivity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Realizácia aktivity od: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Realizácia aktivity do:</w:t>
            </w:r>
          </w:p>
        </w:tc>
      </w:tr>
      <w:tr w:rsidR="00607D5A" w:rsidRPr="00607D5A" w:rsidTr="00607D5A">
        <w:trPr>
          <w:trHeight w:val="6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Riadenie projektu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600"/>
        </w:trPr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Zabezpečenie povinnej publicity projektu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1035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B05 - Realizácia sprievodnej infraštruktúry a vybavenia/</w:t>
            </w:r>
            <w:proofErr w:type="spellStart"/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mobiliárov</w:t>
            </w:r>
            <w:proofErr w:type="spellEnd"/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 riešenej lokalite (stojany pre bicykle, informačné tabule, odpočívadlá, prístrešky, atď.)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450"/>
        </w:trPr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Hlavný cezhraničný partner: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Obec Metylovice </w:t>
            </w:r>
          </w:p>
        </w:tc>
      </w:tr>
      <w:tr w:rsidR="00607D5A" w:rsidRPr="00607D5A" w:rsidTr="00607D5A">
        <w:trPr>
          <w:trHeight w:val="750"/>
        </w:trPr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A) Investičné aktivity na zlepšenie technického stavu prírodných a kultúrnych pamiatok cezhraničného významu s cieľom ďalšieho využitia prírodného a kultúrneho dedičstva. </w:t>
            </w:r>
          </w:p>
        </w:tc>
      </w:tr>
      <w:tr w:rsidR="00607D5A" w:rsidRPr="00607D5A" w:rsidTr="00607D5A">
        <w:trPr>
          <w:trHeight w:val="45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Názov aktivity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Realizácia aktivity od: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Realizácia aktivity do:</w:t>
            </w:r>
          </w:p>
        </w:tc>
      </w:tr>
      <w:tr w:rsidR="00607D5A" w:rsidRPr="00607D5A" w:rsidTr="00607D5A">
        <w:trPr>
          <w:trHeight w:val="60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Riadenie projektu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60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Zabezpečenie povinnej publicity projektu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60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A11 - Prezentačné a propagačné aktivity vo vzťahu k realizovanému objektu (iba doplnkovo)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840"/>
        </w:trPr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C) Plánovanie, príprava a budovanie cyklistických ciest a turistických chodníkov s dôrazom na zlepšenie prepojenia kultúrne a prírodne významných lokalít cezhraničnom regióne.</w:t>
            </w:r>
          </w:p>
        </w:tc>
      </w:tr>
      <w:tr w:rsidR="00607D5A" w:rsidRPr="00607D5A" w:rsidTr="00607D5A">
        <w:trPr>
          <w:trHeight w:val="60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Názov aktivity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Realizácia aktivity od: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Realizácia aktivity do:</w:t>
            </w:r>
          </w:p>
        </w:tc>
      </w:tr>
      <w:tr w:rsidR="00607D5A" w:rsidRPr="00607D5A" w:rsidTr="00607D5A">
        <w:trPr>
          <w:trHeight w:val="6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Riadenie projektu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600"/>
        </w:trPr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Zabezpečenie povinnej publicity projektu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1002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C01 - Výstavba/rekonštrukcia cyklistických chodníkov a cyklotrás zlepšujúcich prístup a prepojenie kultúrne/prírodne významných lokalít v cezhraničnom regióne vrátane doplnkovej infraštruktúry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  <w:tr w:rsidR="00607D5A" w:rsidRPr="00607D5A" w:rsidTr="00607D5A">
        <w:trPr>
          <w:trHeight w:val="762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C12 - Prezentačné a propagačné aktivity vo vzťahu k realizovanému objektu (iba doplnkovo)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D5A" w:rsidRPr="00607D5A" w:rsidRDefault="00607D5A" w:rsidP="00607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D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03/2021</w:t>
            </w:r>
          </w:p>
        </w:tc>
      </w:tr>
    </w:tbl>
    <w:p w:rsidR="00607D5A" w:rsidRPr="00CF28AD" w:rsidRDefault="00607D5A" w:rsidP="00B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E11" w:rsidRDefault="00BB4E11" w:rsidP="00B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E11" w:rsidRPr="00BB4E11" w:rsidRDefault="00BB4E11" w:rsidP="00BB4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E11">
        <w:rPr>
          <w:rFonts w:ascii="Times New Roman" w:hAnsi="Times New Roman" w:cs="Times New Roman"/>
          <w:b/>
          <w:sz w:val="24"/>
          <w:szCs w:val="24"/>
        </w:rPr>
        <w:t>Cezhraničný prístup k riešeniu projektu</w:t>
      </w:r>
    </w:p>
    <w:p w:rsidR="00EE1F60" w:rsidRDefault="00EE1F60" w:rsidP="00BB4E11">
      <w:pPr>
        <w:jc w:val="both"/>
        <w:rPr>
          <w:rStyle w:val="tlid-translation"/>
          <w:lang w:val="cs-CZ"/>
        </w:rPr>
      </w:pPr>
      <w:r>
        <w:rPr>
          <w:rStyle w:val="tlid-translation"/>
          <w:lang w:val="cs-CZ"/>
        </w:rPr>
        <w:t>Partneři projektu leží v jednom společném regionu, který mě společné problémy, společný potenciál a ze společné analýzy a setkání zástupců samospráv vyplynulo, že je mohou společně vyřešit. Chráněné krajinné oblasti našich zemí spolu přímo sousedí. Pokud chceme řešit společnou propagaci, ochranu, využití a rozvoj přírodního a kulturního dědictví, musíme se orientovat na celý okolní region našich obcí a tedy vzhledem k region společný, tento se nachází na Slovensku i Česku. Orientace na cílové skupiny ze ČR tedy dává větší počty turistů, obyvatel, vůči nimž bude dědictví zachovávány, propagované a tedy těmito osobami využívány.</w:t>
      </w:r>
    </w:p>
    <w:p w:rsidR="00EE1F60" w:rsidRDefault="00EE1F60" w:rsidP="00BB4E11">
      <w:pPr>
        <w:jc w:val="both"/>
        <w:rPr>
          <w:rStyle w:val="tlid-translation"/>
          <w:lang w:val="cs-CZ"/>
        </w:rPr>
      </w:pPr>
      <w:r>
        <w:rPr>
          <w:lang w:val="cs-CZ"/>
        </w:rPr>
        <w:br/>
      </w:r>
      <w:r>
        <w:rPr>
          <w:rStyle w:val="tlid-translation"/>
          <w:lang w:val="cs-CZ"/>
        </w:rPr>
        <w:t xml:space="preserve">Projekt řeší zachování dědictví jako jeden pohraniční celek, ze společného </w:t>
      </w:r>
      <w:proofErr w:type="gramStart"/>
      <w:r>
        <w:rPr>
          <w:rStyle w:val="tlid-translation"/>
          <w:lang w:val="cs-CZ"/>
        </w:rPr>
        <w:t>území na</w:t>
      </w:r>
      <w:proofErr w:type="gramEnd"/>
      <w:r>
        <w:rPr>
          <w:rStyle w:val="tlid-translation"/>
          <w:lang w:val="cs-CZ"/>
        </w:rPr>
        <w:t xml:space="preserve"> kterém se příroda nachází, což je v pohraničí SK i CZ.</w:t>
      </w:r>
    </w:p>
    <w:p w:rsidR="00607D5A" w:rsidRDefault="00EE1F60" w:rsidP="00BB4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lang w:val="cs-CZ"/>
        </w:rPr>
        <w:t>Z uvedeného vyplývá, že přeshraniční spolupráce v našem případě je jediným možným způsobem k dosažení předpokládaných cílů a výsledků projektu.</w:t>
      </w:r>
    </w:p>
    <w:p w:rsidR="00BB4E11" w:rsidRPr="00CF28AD" w:rsidRDefault="00BB4E11" w:rsidP="00607D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E11" w:rsidRPr="00CF28AD" w:rsidSect="00DE36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F5" w:rsidRDefault="00774DF5" w:rsidP="00763789">
      <w:pPr>
        <w:spacing w:after="0" w:line="240" w:lineRule="auto"/>
      </w:pPr>
      <w:r>
        <w:separator/>
      </w:r>
    </w:p>
  </w:endnote>
  <w:endnote w:type="continuationSeparator" w:id="0">
    <w:p w:rsidR="00774DF5" w:rsidRDefault="00774DF5" w:rsidP="0076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89" w:rsidRDefault="00763789" w:rsidP="00763789">
    <w:pPr>
      <w:spacing w:line="241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F5" w:rsidRDefault="00774DF5" w:rsidP="00763789">
      <w:pPr>
        <w:spacing w:after="0" w:line="240" w:lineRule="auto"/>
      </w:pPr>
      <w:r>
        <w:separator/>
      </w:r>
    </w:p>
  </w:footnote>
  <w:footnote w:type="continuationSeparator" w:id="0">
    <w:p w:rsidR="00774DF5" w:rsidRDefault="00774DF5" w:rsidP="00763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60"/>
    <w:rsid w:val="000229B4"/>
    <w:rsid w:val="0006545E"/>
    <w:rsid w:val="0008612C"/>
    <w:rsid w:val="000A26C6"/>
    <w:rsid w:val="00114159"/>
    <w:rsid w:val="00147AA4"/>
    <w:rsid w:val="001C3A82"/>
    <w:rsid w:val="001C42EB"/>
    <w:rsid w:val="001D19BD"/>
    <w:rsid w:val="002C5756"/>
    <w:rsid w:val="002D6B46"/>
    <w:rsid w:val="00304E4B"/>
    <w:rsid w:val="00437F19"/>
    <w:rsid w:val="00447D3C"/>
    <w:rsid w:val="005F1417"/>
    <w:rsid w:val="005F2310"/>
    <w:rsid w:val="00607D5A"/>
    <w:rsid w:val="006D4EC5"/>
    <w:rsid w:val="00720D6B"/>
    <w:rsid w:val="00763789"/>
    <w:rsid w:val="00774DF5"/>
    <w:rsid w:val="007F097B"/>
    <w:rsid w:val="00941EAC"/>
    <w:rsid w:val="00993FB8"/>
    <w:rsid w:val="00AD4934"/>
    <w:rsid w:val="00B30C44"/>
    <w:rsid w:val="00B534A2"/>
    <w:rsid w:val="00BB4E11"/>
    <w:rsid w:val="00C11BC6"/>
    <w:rsid w:val="00C465C1"/>
    <w:rsid w:val="00CC0F7A"/>
    <w:rsid w:val="00CF28AD"/>
    <w:rsid w:val="00DE36D7"/>
    <w:rsid w:val="00EA643D"/>
    <w:rsid w:val="00ED7751"/>
    <w:rsid w:val="00EE1F60"/>
    <w:rsid w:val="00F33660"/>
    <w:rsid w:val="00F71D58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9834-0936-4D78-A100-2718701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A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789"/>
  </w:style>
  <w:style w:type="paragraph" w:styleId="Zpat">
    <w:name w:val="footer"/>
    <w:basedOn w:val="Normln"/>
    <w:link w:val="ZpatChar"/>
    <w:uiPriority w:val="99"/>
    <w:unhideWhenUsed/>
    <w:rsid w:val="0076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789"/>
  </w:style>
  <w:style w:type="character" w:customStyle="1" w:styleId="tlid-translation">
    <w:name w:val="tlid-translation"/>
    <w:basedOn w:val="Standardnpsmoodstavce"/>
    <w:rsid w:val="00EE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Ruzenka</cp:lastModifiedBy>
  <cp:revision>2</cp:revision>
  <cp:lastPrinted>2016-06-21T08:22:00Z</cp:lastPrinted>
  <dcterms:created xsi:type="dcterms:W3CDTF">2019-09-18T11:47:00Z</dcterms:created>
  <dcterms:modified xsi:type="dcterms:W3CDTF">2019-09-18T11:47:00Z</dcterms:modified>
</cp:coreProperties>
</file>